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5D4" w:rsidRPr="007E342F" w:rsidRDefault="00EF55D4" w:rsidP="00EF55D4">
      <w:pPr>
        <w:pStyle w:val="Betarp"/>
        <w:jc w:val="center"/>
        <w:rPr>
          <w:rFonts w:ascii="Times New Roman" w:hAnsi="Times New Roman" w:cs="Times New Roman"/>
          <w:b/>
          <w:sz w:val="24"/>
          <w:szCs w:val="24"/>
          <w:lang w:val="lt-LT"/>
        </w:rPr>
      </w:pPr>
      <w:r w:rsidRPr="007E342F">
        <w:rPr>
          <w:rFonts w:ascii="Times New Roman" w:hAnsi="Times New Roman" w:cs="Times New Roman"/>
          <w:b/>
          <w:sz w:val="24"/>
          <w:szCs w:val="24"/>
          <w:lang w:val="lt-LT"/>
        </w:rPr>
        <w:t>VISOS DIENOS MOKYKLOS VEIKLOS PLANAS</w:t>
      </w:r>
      <w:r w:rsidRPr="007E342F">
        <w:rPr>
          <w:rFonts w:ascii="Times New Roman" w:hAnsi="Times New Roman" w:cs="Times New Roman"/>
          <w:b/>
          <w:sz w:val="24"/>
          <w:szCs w:val="24"/>
          <w:lang w:val="lt-LT"/>
        </w:rPr>
        <w:br/>
        <w:t>2021-2022 M. M.</w:t>
      </w:r>
    </w:p>
    <w:p w:rsidR="00EF55D4" w:rsidRPr="007E342F" w:rsidRDefault="00EF55D4" w:rsidP="00EF55D4">
      <w:pPr>
        <w:pStyle w:val="Betarp"/>
        <w:jc w:val="center"/>
        <w:rPr>
          <w:rFonts w:ascii="Times New Roman" w:hAnsi="Times New Roman" w:cs="Times New Roman"/>
          <w:b/>
          <w:sz w:val="24"/>
          <w:szCs w:val="24"/>
          <w:lang w:val="lt-LT"/>
        </w:rPr>
      </w:pPr>
    </w:p>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b/>
          <w:sz w:val="24"/>
          <w:szCs w:val="24"/>
          <w:lang w:val="lt-LT"/>
        </w:rPr>
        <w:t>Veiklos tikslas</w:t>
      </w:r>
      <w:r w:rsidRPr="007E342F">
        <w:rPr>
          <w:rFonts w:ascii="Times New Roman" w:hAnsi="Times New Roman" w:cs="Times New Roman"/>
          <w:sz w:val="24"/>
          <w:szCs w:val="24"/>
          <w:lang w:val="lt-LT"/>
        </w:rPr>
        <w:t> – saugaus ir kryptingo pradinių klasių mokinių užimtumo po pamokų užtikrinimas.</w:t>
      </w:r>
    </w:p>
    <w:p w:rsidR="00EF55D4" w:rsidRPr="007E342F" w:rsidRDefault="00EF55D4" w:rsidP="00EF55D4">
      <w:pPr>
        <w:pStyle w:val="Betarp"/>
        <w:jc w:val="both"/>
        <w:rPr>
          <w:rFonts w:ascii="Times New Roman" w:hAnsi="Times New Roman" w:cs="Times New Roman"/>
          <w:sz w:val="24"/>
          <w:szCs w:val="24"/>
          <w:lang w:val="lt-LT"/>
        </w:rPr>
      </w:pPr>
    </w:p>
    <w:p w:rsidR="00EF55D4" w:rsidRPr="007E342F" w:rsidRDefault="00EF55D4" w:rsidP="00EF55D4">
      <w:pPr>
        <w:pStyle w:val="Betarp"/>
        <w:jc w:val="both"/>
        <w:rPr>
          <w:rFonts w:ascii="Times New Roman" w:hAnsi="Times New Roman" w:cs="Times New Roman"/>
          <w:b/>
          <w:sz w:val="24"/>
          <w:szCs w:val="24"/>
          <w:lang w:val="lt-LT"/>
        </w:rPr>
      </w:pPr>
      <w:r w:rsidRPr="007E342F">
        <w:rPr>
          <w:rFonts w:ascii="Times New Roman" w:hAnsi="Times New Roman" w:cs="Times New Roman"/>
          <w:b/>
          <w:sz w:val="24"/>
          <w:szCs w:val="24"/>
          <w:lang w:val="lt-LT"/>
        </w:rPr>
        <w:t>Uždaviniai:</w:t>
      </w:r>
    </w:p>
    <w:p w:rsidR="00BE0C98" w:rsidRPr="007E342F" w:rsidRDefault="00BE0C98" w:rsidP="00EF55D4">
      <w:pPr>
        <w:pStyle w:val="Betarp"/>
        <w:jc w:val="both"/>
        <w:rPr>
          <w:rFonts w:ascii="Times New Roman" w:hAnsi="Times New Roman" w:cs="Times New Roman"/>
          <w:b/>
          <w:sz w:val="24"/>
          <w:szCs w:val="24"/>
          <w:lang w:val="lt-LT"/>
        </w:rPr>
      </w:pPr>
    </w:p>
    <w:p w:rsidR="00EF55D4" w:rsidRPr="007E342F" w:rsidRDefault="00EF55D4" w:rsidP="00EF55D4">
      <w:pPr>
        <w:pStyle w:val="Betarp"/>
        <w:spacing w:line="360" w:lineRule="auto"/>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2.1. individualios mokymosi pagalbos teikimas mokiniui ruošiant namų ruošos darbus ir mokytojų konsultacijos, saugus mokinių užimtumas po pamokų ir visapusiškas ugdymas visą dieną.</w:t>
      </w:r>
    </w:p>
    <w:p w:rsidR="00EF55D4" w:rsidRPr="007E342F" w:rsidRDefault="00EF55D4" w:rsidP="00EF55D4">
      <w:pPr>
        <w:pStyle w:val="Betarp"/>
        <w:spacing w:line="360" w:lineRule="auto"/>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2.2. socialinės pagalbos teikimas mokiniui ir jo šeimai (pagalbos mokiniui specialistų konsultacijos mokiniams ir tėvams (globėjams, rūpintojams), mokinių socializacijos galimybių plėtojimas;</w:t>
      </w:r>
    </w:p>
    <w:p w:rsidR="00EF55D4" w:rsidRPr="007E342F" w:rsidRDefault="00EF55D4" w:rsidP="00EF55D4">
      <w:pPr>
        <w:pStyle w:val="Betarp"/>
        <w:spacing w:line="360" w:lineRule="auto"/>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2.3. ugdymo turinio papildymas nemokamomis arba iš NVŠ krepšelio finansuojamomis lėšomis, tėvų (globėjų, rūpintojų) apmokamomis įvairiomis kokybiškomis neformaliojo švietimo veiklomis, panaudojant ne tik mokyklos, bet ir kitas erdves, kokybiško grupės mokinių laisvalaikio organizavimas, priemonių įvairovė;</w:t>
      </w:r>
    </w:p>
    <w:p w:rsidR="00EF55D4" w:rsidRPr="007E342F" w:rsidRDefault="00EF55D4" w:rsidP="00EF55D4">
      <w:pPr>
        <w:pStyle w:val="Betarp"/>
        <w:spacing w:line="360" w:lineRule="auto"/>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2.4. formaliojo ugdymo ir neformaliojo švietimo dermės stiprinimas;</w:t>
      </w:r>
    </w:p>
    <w:p w:rsidR="00EF55D4" w:rsidRPr="007E342F" w:rsidRDefault="00EF55D4" w:rsidP="00EF55D4">
      <w:pPr>
        <w:pStyle w:val="Betarp"/>
        <w:spacing w:line="360" w:lineRule="auto"/>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2.</w:t>
      </w:r>
      <w:r w:rsidR="00BE0C98" w:rsidRPr="007E342F">
        <w:rPr>
          <w:rFonts w:ascii="Times New Roman" w:hAnsi="Times New Roman" w:cs="Times New Roman"/>
          <w:sz w:val="24"/>
          <w:szCs w:val="24"/>
          <w:lang w:val="lt-LT"/>
        </w:rPr>
        <w:t>5</w:t>
      </w:r>
      <w:r w:rsidRPr="007E342F">
        <w:rPr>
          <w:rFonts w:ascii="Times New Roman" w:hAnsi="Times New Roman" w:cs="Times New Roman"/>
          <w:sz w:val="24"/>
          <w:szCs w:val="24"/>
          <w:lang w:val="lt-LT"/>
        </w:rPr>
        <w:t>. mokinių maitinimo paslaugų organizavimas.</w:t>
      </w:r>
    </w:p>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 </w:t>
      </w:r>
    </w:p>
    <w:p w:rsidR="00EF55D4" w:rsidRPr="007E342F" w:rsidRDefault="00EF55D4" w:rsidP="00EF55D4">
      <w:pPr>
        <w:pStyle w:val="Betarp"/>
        <w:jc w:val="both"/>
        <w:rPr>
          <w:rFonts w:ascii="Times New Roman" w:hAnsi="Times New Roman" w:cs="Times New Roman"/>
          <w:b/>
          <w:sz w:val="24"/>
          <w:szCs w:val="24"/>
          <w:lang w:val="lt-LT"/>
        </w:rPr>
      </w:pPr>
      <w:r w:rsidRPr="007E342F">
        <w:rPr>
          <w:rFonts w:ascii="Times New Roman" w:hAnsi="Times New Roman" w:cs="Times New Roman"/>
          <w:b/>
          <w:sz w:val="24"/>
          <w:szCs w:val="24"/>
          <w:lang w:val="lt-LT"/>
        </w:rPr>
        <w:t>3. Dienotvarkė:</w:t>
      </w:r>
    </w:p>
    <w:p w:rsidR="00025D11" w:rsidRPr="007E342F" w:rsidRDefault="00025D11" w:rsidP="00EF55D4">
      <w:pPr>
        <w:pStyle w:val="Betarp"/>
        <w:jc w:val="both"/>
        <w:rPr>
          <w:rFonts w:ascii="Times New Roman" w:hAnsi="Times New Roman" w:cs="Times New Roman"/>
          <w:b/>
          <w:sz w:val="24"/>
          <w:szCs w:val="24"/>
          <w:lang w:val="lt-LT"/>
        </w:rPr>
      </w:pPr>
    </w:p>
    <w:tbl>
      <w:tblPr>
        <w:tblW w:w="99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97"/>
        <w:gridCol w:w="6598"/>
      </w:tblGrid>
      <w:tr w:rsidR="00EF55D4" w:rsidRPr="007E342F" w:rsidTr="008D02C8">
        <w:trPr>
          <w:trHeight w:val="407"/>
          <w:tblHeader/>
          <w:tblCellSpacing w:w="15" w:type="dxa"/>
        </w:trPr>
        <w:tc>
          <w:tcPr>
            <w:tcW w:w="3352" w:type="dxa"/>
            <w:vAlign w:val="center"/>
            <w:hideMark/>
          </w:tcPr>
          <w:p w:rsidR="00EF55D4" w:rsidRPr="007E342F" w:rsidRDefault="00EF55D4" w:rsidP="00EF55D4">
            <w:pPr>
              <w:pStyle w:val="Betarp"/>
              <w:jc w:val="both"/>
              <w:rPr>
                <w:rFonts w:ascii="Times New Roman" w:hAnsi="Times New Roman" w:cs="Times New Roman"/>
                <w:b/>
                <w:sz w:val="24"/>
                <w:szCs w:val="24"/>
                <w:lang w:val="lt-LT"/>
              </w:rPr>
            </w:pPr>
            <w:r w:rsidRPr="007E342F">
              <w:rPr>
                <w:rFonts w:ascii="Times New Roman" w:hAnsi="Times New Roman" w:cs="Times New Roman"/>
                <w:b/>
                <w:sz w:val="24"/>
                <w:szCs w:val="24"/>
                <w:lang w:val="lt-LT"/>
              </w:rPr>
              <w:t>Laikas</w:t>
            </w:r>
          </w:p>
        </w:tc>
        <w:tc>
          <w:tcPr>
            <w:tcW w:w="6553" w:type="dxa"/>
            <w:vAlign w:val="center"/>
            <w:hideMark/>
          </w:tcPr>
          <w:p w:rsidR="00EF55D4" w:rsidRPr="007E342F" w:rsidRDefault="00EF55D4" w:rsidP="00286C5F">
            <w:pPr>
              <w:pStyle w:val="Betarp"/>
              <w:jc w:val="both"/>
              <w:rPr>
                <w:rFonts w:ascii="Times New Roman" w:hAnsi="Times New Roman" w:cs="Times New Roman"/>
                <w:b/>
                <w:sz w:val="24"/>
                <w:szCs w:val="24"/>
                <w:lang w:val="lt-LT"/>
              </w:rPr>
            </w:pPr>
            <w:r w:rsidRPr="007E342F">
              <w:rPr>
                <w:rFonts w:ascii="Times New Roman" w:hAnsi="Times New Roman" w:cs="Times New Roman"/>
                <w:b/>
                <w:sz w:val="24"/>
                <w:szCs w:val="24"/>
                <w:lang w:val="lt-LT"/>
              </w:rPr>
              <w:t>Veiklos</w:t>
            </w:r>
            <w:r w:rsidR="00286C5F" w:rsidRPr="007E342F">
              <w:rPr>
                <w:rFonts w:ascii="Times New Roman" w:hAnsi="Times New Roman" w:cs="Times New Roman"/>
                <w:b/>
                <w:sz w:val="24"/>
                <w:szCs w:val="24"/>
                <w:lang w:val="lt-LT"/>
              </w:rPr>
              <w:t xml:space="preserve"> </w:t>
            </w:r>
          </w:p>
        </w:tc>
      </w:tr>
      <w:tr w:rsidR="00EF55D4" w:rsidRPr="007E342F" w:rsidTr="008D02C8">
        <w:trPr>
          <w:tblCellSpacing w:w="15" w:type="dxa"/>
        </w:trPr>
        <w:tc>
          <w:tcPr>
            <w:tcW w:w="3352" w:type="dxa"/>
            <w:vAlign w:val="center"/>
            <w:hideMark/>
          </w:tcPr>
          <w:p w:rsidR="00EF55D4" w:rsidRPr="007E342F" w:rsidRDefault="00EF55D4" w:rsidP="008D02C8">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1</w:t>
            </w:r>
            <w:r w:rsidR="00BE0C98" w:rsidRPr="007E342F">
              <w:rPr>
                <w:rFonts w:ascii="Times New Roman" w:hAnsi="Times New Roman" w:cs="Times New Roman"/>
                <w:sz w:val="24"/>
                <w:szCs w:val="24"/>
                <w:lang w:val="lt-LT"/>
              </w:rPr>
              <w:t>4</w:t>
            </w:r>
            <w:r w:rsidR="008D02C8">
              <w:rPr>
                <w:rFonts w:ascii="Times New Roman" w:hAnsi="Times New Roman" w:cs="Times New Roman"/>
                <w:sz w:val="24"/>
                <w:szCs w:val="24"/>
                <w:lang w:val="lt-LT"/>
              </w:rPr>
              <w:t>:</w:t>
            </w:r>
            <w:r w:rsidR="00BE0C98" w:rsidRPr="007E342F">
              <w:rPr>
                <w:rFonts w:ascii="Times New Roman" w:hAnsi="Times New Roman" w:cs="Times New Roman"/>
                <w:sz w:val="24"/>
                <w:szCs w:val="24"/>
                <w:lang w:val="lt-LT"/>
              </w:rPr>
              <w:t>10</w:t>
            </w:r>
            <w:r w:rsidR="008D02C8">
              <w:rPr>
                <w:rFonts w:ascii="Times New Roman" w:hAnsi="Times New Roman" w:cs="Times New Roman"/>
                <w:sz w:val="24"/>
                <w:szCs w:val="24"/>
                <w:lang w:val="lt-LT"/>
              </w:rPr>
              <w:t>–</w:t>
            </w:r>
            <w:r w:rsidRPr="007E342F">
              <w:rPr>
                <w:rFonts w:ascii="Times New Roman" w:hAnsi="Times New Roman" w:cs="Times New Roman"/>
                <w:sz w:val="24"/>
                <w:szCs w:val="24"/>
                <w:lang w:val="lt-LT"/>
              </w:rPr>
              <w:t>1</w:t>
            </w:r>
            <w:r w:rsidR="00D91534" w:rsidRPr="007E342F">
              <w:rPr>
                <w:rFonts w:ascii="Times New Roman" w:hAnsi="Times New Roman" w:cs="Times New Roman"/>
                <w:sz w:val="24"/>
                <w:szCs w:val="24"/>
                <w:lang w:val="lt-LT"/>
              </w:rPr>
              <w:t>5.30</w:t>
            </w:r>
            <w:r w:rsidRPr="007E342F">
              <w:rPr>
                <w:rFonts w:ascii="Times New Roman" w:hAnsi="Times New Roman" w:cs="Times New Roman"/>
                <w:sz w:val="24"/>
                <w:szCs w:val="24"/>
                <w:lang w:val="lt-LT"/>
              </w:rPr>
              <w:t xml:space="preserve"> val.</w:t>
            </w:r>
          </w:p>
        </w:tc>
        <w:tc>
          <w:tcPr>
            <w:tcW w:w="6553" w:type="dxa"/>
            <w:vAlign w:val="center"/>
            <w:hideMark/>
          </w:tcPr>
          <w:p w:rsidR="00286C5F" w:rsidRPr="007E342F" w:rsidRDefault="00286C5F" w:rsidP="00286C5F">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NEBAIGTŲ UŽDUOČIŲ VALANDĖLĖ.</w:t>
            </w:r>
          </w:p>
          <w:p w:rsidR="00EF55D4" w:rsidRPr="007E342F" w:rsidRDefault="00286C5F" w:rsidP="00286C5F">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Konsultacijos.</w:t>
            </w:r>
          </w:p>
        </w:tc>
      </w:tr>
      <w:tr w:rsidR="00BE0C98" w:rsidRPr="007E342F" w:rsidTr="008D02C8">
        <w:trPr>
          <w:tblCellSpacing w:w="15" w:type="dxa"/>
        </w:trPr>
        <w:tc>
          <w:tcPr>
            <w:tcW w:w="3352" w:type="dxa"/>
            <w:vAlign w:val="center"/>
          </w:tcPr>
          <w:p w:rsidR="00BE0C98" w:rsidRPr="007E342F" w:rsidRDefault="00BE0C98" w:rsidP="008D02C8">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15:30</w:t>
            </w:r>
            <w:r w:rsidR="008D02C8">
              <w:rPr>
                <w:rFonts w:ascii="Times New Roman" w:hAnsi="Times New Roman" w:cs="Times New Roman"/>
                <w:sz w:val="24"/>
                <w:szCs w:val="24"/>
                <w:lang w:val="lt-LT"/>
              </w:rPr>
              <w:t>–</w:t>
            </w:r>
            <w:r w:rsidRPr="007E342F">
              <w:rPr>
                <w:rFonts w:ascii="Times New Roman" w:hAnsi="Times New Roman" w:cs="Times New Roman"/>
                <w:sz w:val="24"/>
                <w:szCs w:val="24"/>
                <w:lang w:val="lt-LT"/>
              </w:rPr>
              <w:t>15:45 val.</w:t>
            </w:r>
          </w:p>
        </w:tc>
        <w:tc>
          <w:tcPr>
            <w:tcW w:w="6553" w:type="dxa"/>
            <w:vAlign w:val="center"/>
          </w:tcPr>
          <w:p w:rsidR="00BE0C98" w:rsidRPr="007E342F" w:rsidRDefault="00BE0C98"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PAVAKARIAI.</w:t>
            </w:r>
          </w:p>
        </w:tc>
      </w:tr>
      <w:tr w:rsidR="00EF55D4" w:rsidRPr="001810A2" w:rsidTr="008D02C8">
        <w:trPr>
          <w:tblCellSpacing w:w="15" w:type="dxa"/>
        </w:trPr>
        <w:tc>
          <w:tcPr>
            <w:tcW w:w="3352" w:type="dxa"/>
            <w:vAlign w:val="center"/>
            <w:hideMark/>
          </w:tcPr>
          <w:p w:rsidR="008D02C8" w:rsidRDefault="00EF55D4" w:rsidP="008D02C8">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1</w:t>
            </w:r>
            <w:r w:rsidR="00BE0C98" w:rsidRPr="007E342F">
              <w:rPr>
                <w:rFonts w:ascii="Times New Roman" w:hAnsi="Times New Roman" w:cs="Times New Roman"/>
                <w:sz w:val="24"/>
                <w:szCs w:val="24"/>
                <w:lang w:val="lt-LT"/>
              </w:rPr>
              <w:t>5</w:t>
            </w:r>
            <w:r w:rsidR="008D02C8">
              <w:rPr>
                <w:rFonts w:ascii="Times New Roman" w:hAnsi="Times New Roman" w:cs="Times New Roman"/>
                <w:sz w:val="24"/>
                <w:szCs w:val="24"/>
                <w:lang w:val="lt-LT"/>
              </w:rPr>
              <w:t>:</w:t>
            </w:r>
            <w:r w:rsidR="00BE0C98" w:rsidRPr="007E342F">
              <w:rPr>
                <w:rFonts w:ascii="Times New Roman" w:hAnsi="Times New Roman" w:cs="Times New Roman"/>
                <w:sz w:val="24"/>
                <w:szCs w:val="24"/>
                <w:lang w:val="lt-LT"/>
              </w:rPr>
              <w:t>45</w:t>
            </w:r>
            <w:r w:rsidR="008D02C8">
              <w:rPr>
                <w:rFonts w:ascii="Times New Roman" w:hAnsi="Times New Roman" w:cs="Times New Roman"/>
                <w:sz w:val="24"/>
                <w:szCs w:val="24"/>
                <w:lang w:val="lt-LT"/>
              </w:rPr>
              <w:t>–</w:t>
            </w:r>
            <w:r w:rsidRPr="007E342F">
              <w:rPr>
                <w:rFonts w:ascii="Times New Roman" w:hAnsi="Times New Roman" w:cs="Times New Roman"/>
                <w:sz w:val="24"/>
                <w:szCs w:val="24"/>
                <w:lang w:val="lt-LT"/>
              </w:rPr>
              <w:t>1</w:t>
            </w:r>
            <w:r w:rsidR="008D02C8">
              <w:rPr>
                <w:rFonts w:ascii="Times New Roman" w:hAnsi="Times New Roman" w:cs="Times New Roman"/>
                <w:sz w:val="24"/>
                <w:szCs w:val="24"/>
                <w:lang w:val="lt-LT"/>
              </w:rPr>
              <w:t>8:</w:t>
            </w:r>
            <w:r w:rsidR="00286C5F" w:rsidRPr="007E342F">
              <w:rPr>
                <w:rFonts w:ascii="Times New Roman" w:hAnsi="Times New Roman" w:cs="Times New Roman"/>
                <w:sz w:val="24"/>
                <w:szCs w:val="24"/>
                <w:lang w:val="lt-LT"/>
              </w:rPr>
              <w:t>00</w:t>
            </w:r>
            <w:r w:rsidRPr="007E342F">
              <w:rPr>
                <w:rFonts w:ascii="Times New Roman" w:hAnsi="Times New Roman" w:cs="Times New Roman"/>
                <w:sz w:val="24"/>
                <w:szCs w:val="24"/>
                <w:lang w:val="lt-LT"/>
              </w:rPr>
              <w:t xml:space="preserve"> val.</w:t>
            </w:r>
            <w:r w:rsidR="00245DFB">
              <w:rPr>
                <w:rFonts w:ascii="Times New Roman" w:hAnsi="Times New Roman" w:cs="Times New Roman"/>
                <w:sz w:val="24"/>
                <w:szCs w:val="24"/>
                <w:lang w:val="lt-LT"/>
              </w:rPr>
              <w:t xml:space="preserve"> (I-IV</w:t>
            </w:r>
            <w:r w:rsidR="001810A2">
              <w:rPr>
                <w:rFonts w:ascii="Times New Roman" w:hAnsi="Times New Roman" w:cs="Times New Roman"/>
                <w:sz w:val="24"/>
                <w:szCs w:val="24"/>
                <w:lang w:val="lt-LT"/>
              </w:rPr>
              <w:t>)</w:t>
            </w:r>
            <w:bookmarkStart w:id="0" w:name="_GoBack"/>
            <w:bookmarkEnd w:id="0"/>
          </w:p>
          <w:p w:rsidR="00EF55D4" w:rsidRDefault="008D02C8" w:rsidP="008D02C8">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p>
          <w:p w:rsidR="008D02C8" w:rsidRPr="007E342F" w:rsidRDefault="008D02C8" w:rsidP="00245DFB">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15:45–17:00 val. (</w:t>
            </w:r>
            <w:r w:rsidR="00245DFB">
              <w:rPr>
                <w:rFonts w:ascii="Times New Roman" w:hAnsi="Times New Roman" w:cs="Times New Roman"/>
                <w:sz w:val="24"/>
                <w:szCs w:val="24"/>
                <w:lang w:val="lt-LT"/>
              </w:rPr>
              <w:t>V</w:t>
            </w:r>
            <w:r>
              <w:rPr>
                <w:rFonts w:ascii="Times New Roman" w:hAnsi="Times New Roman" w:cs="Times New Roman"/>
                <w:sz w:val="24"/>
                <w:szCs w:val="24"/>
                <w:lang w:val="lt-LT"/>
              </w:rPr>
              <w:t>)</w:t>
            </w:r>
          </w:p>
        </w:tc>
        <w:tc>
          <w:tcPr>
            <w:tcW w:w="6553" w:type="dxa"/>
            <w:vAlign w:val="center"/>
            <w:hideMark/>
          </w:tcPr>
          <w:p w:rsidR="008D02C8" w:rsidRDefault="008D02C8" w:rsidP="00BE0C98">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SVEIKOS GYVENSENOS UGDYMAS:</w:t>
            </w:r>
          </w:p>
          <w:p w:rsidR="00EF55D4" w:rsidRPr="007E342F" w:rsidRDefault="00286C5F" w:rsidP="008D02C8">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Stalo žaidimai, dėlionės, knygų skaitymas, piešimas, lankstymas</w:t>
            </w:r>
            <w:r w:rsidR="008D02C8">
              <w:rPr>
                <w:rFonts w:ascii="Times New Roman" w:hAnsi="Times New Roman" w:cs="Times New Roman"/>
                <w:sz w:val="24"/>
                <w:szCs w:val="24"/>
                <w:lang w:val="lt-LT"/>
              </w:rPr>
              <w:t>, ž</w:t>
            </w:r>
            <w:r w:rsidR="008D02C8" w:rsidRPr="007E342F">
              <w:rPr>
                <w:rFonts w:ascii="Times New Roman" w:hAnsi="Times New Roman" w:cs="Times New Roman"/>
                <w:sz w:val="24"/>
                <w:szCs w:val="24"/>
                <w:lang w:val="lt-LT"/>
              </w:rPr>
              <w:t>aidimai lauke, sportiniai žaidimai sporto salėje, pasivaikščiojimai gamtoje.</w:t>
            </w:r>
            <w:r w:rsidRPr="007E342F">
              <w:rPr>
                <w:rFonts w:ascii="Times New Roman" w:hAnsi="Times New Roman" w:cs="Times New Roman"/>
                <w:sz w:val="24"/>
                <w:szCs w:val="24"/>
                <w:lang w:val="lt-LT"/>
              </w:rPr>
              <w:t>ir kt.</w:t>
            </w:r>
          </w:p>
        </w:tc>
      </w:tr>
      <w:tr w:rsidR="00245DFB" w:rsidRPr="008D02C8" w:rsidTr="00245DFB">
        <w:trPr>
          <w:tblCellSpacing w:w="15" w:type="dxa"/>
        </w:trPr>
        <w:tc>
          <w:tcPr>
            <w:tcW w:w="9935" w:type="dxa"/>
            <w:gridSpan w:val="2"/>
            <w:vAlign w:val="center"/>
          </w:tcPr>
          <w:p w:rsidR="00245DFB" w:rsidRPr="00245DFB" w:rsidRDefault="00245DFB" w:rsidP="00245DFB">
            <w:pPr>
              <w:pStyle w:val="Betarp"/>
              <w:jc w:val="both"/>
              <w:rPr>
                <w:rFonts w:ascii="Times New Roman" w:hAnsi="Times New Roman" w:cs="Times New Roman"/>
                <w:b/>
                <w:sz w:val="24"/>
                <w:szCs w:val="24"/>
                <w:lang w:val="lt-LT"/>
              </w:rPr>
            </w:pPr>
            <w:r w:rsidRPr="00245DFB">
              <w:rPr>
                <w:rFonts w:ascii="Times New Roman" w:hAnsi="Times New Roman" w:cs="Times New Roman"/>
                <w:b/>
                <w:sz w:val="24"/>
                <w:szCs w:val="24"/>
                <w:lang w:val="lt-LT"/>
              </w:rPr>
              <w:t>NVŠ B</w:t>
            </w:r>
            <w:r>
              <w:rPr>
                <w:rFonts w:ascii="Times New Roman" w:hAnsi="Times New Roman" w:cs="Times New Roman"/>
                <w:b/>
                <w:sz w:val="24"/>
                <w:szCs w:val="24"/>
                <w:lang w:val="lt-LT"/>
              </w:rPr>
              <w:t>ūreliai</w:t>
            </w:r>
            <w:r w:rsidRPr="00245DFB">
              <w:rPr>
                <w:rFonts w:ascii="Times New Roman" w:hAnsi="Times New Roman" w:cs="Times New Roman"/>
                <w:b/>
                <w:sz w:val="24"/>
                <w:szCs w:val="24"/>
                <w:lang w:val="lt-LT"/>
              </w:rPr>
              <w:t>:</w:t>
            </w:r>
          </w:p>
        </w:tc>
      </w:tr>
      <w:tr w:rsidR="00245DFB" w:rsidRPr="008D02C8" w:rsidTr="008D02C8">
        <w:trPr>
          <w:tblCellSpacing w:w="15" w:type="dxa"/>
        </w:trPr>
        <w:tc>
          <w:tcPr>
            <w:tcW w:w="3352" w:type="dxa"/>
            <w:vAlign w:val="center"/>
          </w:tcPr>
          <w:p w:rsidR="00245DFB" w:rsidRPr="007E342F" w:rsidRDefault="00245DFB" w:rsidP="00D91534">
            <w:pPr>
              <w:pStyle w:val="Betarp"/>
              <w:jc w:val="both"/>
              <w:rPr>
                <w:rFonts w:ascii="Times New Roman" w:hAnsi="Times New Roman" w:cs="Times New Roman"/>
                <w:sz w:val="24"/>
                <w:szCs w:val="24"/>
                <w:lang w:val="lt-LT"/>
              </w:rPr>
            </w:pPr>
          </w:p>
        </w:tc>
        <w:tc>
          <w:tcPr>
            <w:tcW w:w="6553" w:type="dxa"/>
            <w:vAlign w:val="center"/>
          </w:tcPr>
          <w:p w:rsidR="00245DFB" w:rsidRDefault="00245DFB"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Jaunųjų skaitytojų klubas</w:t>
            </w:r>
          </w:p>
        </w:tc>
      </w:tr>
      <w:tr w:rsidR="00245DFB" w:rsidRPr="008D02C8" w:rsidTr="008D02C8">
        <w:trPr>
          <w:tblCellSpacing w:w="15" w:type="dxa"/>
        </w:trPr>
        <w:tc>
          <w:tcPr>
            <w:tcW w:w="3352" w:type="dxa"/>
            <w:vAlign w:val="center"/>
          </w:tcPr>
          <w:p w:rsidR="00245DFB" w:rsidRPr="007E342F" w:rsidRDefault="00245DFB" w:rsidP="00245DFB">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14:15– 16:30 (II, IV)</w:t>
            </w:r>
          </w:p>
        </w:tc>
        <w:tc>
          <w:tcPr>
            <w:tcW w:w="6553" w:type="dxa"/>
            <w:vAlign w:val="center"/>
          </w:tcPr>
          <w:p w:rsidR="00245DFB" w:rsidRDefault="00245DFB"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Loginis mąstymas</w:t>
            </w:r>
          </w:p>
        </w:tc>
      </w:tr>
      <w:tr w:rsidR="00245DFB" w:rsidRPr="008D02C8" w:rsidTr="008D02C8">
        <w:trPr>
          <w:tblCellSpacing w:w="15" w:type="dxa"/>
        </w:trPr>
        <w:tc>
          <w:tcPr>
            <w:tcW w:w="3352" w:type="dxa"/>
            <w:vAlign w:val="center"/>
          </w:tcPr>
          <w:p w:rsidR="00245DFB" w:rsidRPr="007E342F" w:rsidRDefault="00245DFB" w:rsidP="00D91534">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(I, III)</w:t>
            </w:r>
          </w:p>
        </w:tc>
        <w:tc>
          <w:tcPr>
            <w:tcW w:w="6553" w:type="dxa"/>
            <w:vAlign w:val="center"/>
          </w:tcPr>
          <w:p w:rsidR="00245DFB" w:rsidRDefault="00245DFB"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Anglų kalba</w:t>
            </w:r>
          </w:p>
        </w:tc>
      </w:tr>
      <w:tr w:rsidR="00245DFB" w:rsidRPr="008D02C8" w:rsidTr="008D02C8">
        <w:trPr>
          <w:tblCellSpacing w:w="15" w:type="dxa"/>
        </w:trPr>
        <w:tc>
          <w:tcPr>
            <w:tcW w:w="3352" w:type="dxa"/>
            <w:vAlign w:val="center"/>
          </w:tcPr>
          <w:p w:rsidR="00245DFB" w:rsidRPr="007E342F" w:rsidRDefault="00245DFB" w:rsidP="00D91534">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16:00 – 17:00 (III)</w:t>
            </w:r>
          </w:p>
        </w:tc>
        <w:tc>
          <w:tcPr>
            <w:tcW w:w="6553" w:type="dxa"/>
            <w:vAlign w:val="center"/>
          </w:tcPr>
          <w:p w:rsidR="00245DFB" w:rsidRDefault="00245DFB" w:rsidP="00EF55D4">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Muzikinis ansamblis 4+</w:t>
            </w:r>
          </w:p>
        </w:tc>
      </w:tr>
      <w:tr w:rsidR="00245DFB" w:rsidRPr="008D02C8" w:rsidTr="008D02C8">
        <w:trPr>
          <w:tblCellSpacing w:w="15" w:type="dxa"/>
        </w:trPr>
        <w:tc>
          <w:tcPr>
            <w:tcW w:w="3352" w:type="dxa"/>
            <w:vAlign w:val="center"/>
          </w:tcPr>
          <w:p w:rsidR="00245DFB" w:rsidRDefault="00245DFB" w:rsidP="00D91534">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(I, V)</w:t>
            </w:r>
          </w:p>
        </w:tc>
        <w:tc>
          <w:tcPr>
            <w:tcW w:w="6553" w:type="dxa"/>
            <w:vAlign w:val="center"/>
          </w:tcPr>
          <w:p w:rsidR="00245DFB" w:rsidRDefault="00245DFB" w:rsidP="00EF55D4">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Futbolas</w:t>
            </w:r>
          </w:p>
        </w:tc>
      </w:tr>
      <w:tr w:rsidR="00245DFB" w:rsidRPr="008D02C8" w:rsidTr="008D02C8">
        <w:trPr>
          <w:tblCellSpacing w:w="15" w:type="dxa"/>
        </w:trPr>
        <w:tc>
          <w:tcPr>
            <w:tcW w:w="3352" w:type="dxa"/>
            <w:vAlign w:val="center"/>
          </w:tcPr>
          <w:p w:rsidR="00245DFB" w:rsidRDefault="00245DFB" w:rsidP="00D91534">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(I, III, V)</w:t>
            </w:r>
          </w:p>
        </w:tc>
        <w:tc>
          <w:tcPr>
            <w:tcW w:w="6553" w:type="dxa"/>
            <w:vAlign w:val="center"/>
          </w:tcPr>
          <w:p w:rsidR="00245DFB" w:rsidRDefault="00245DFB" w:rsidP="00EF55D4">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Karate</w:t>
            </w:r>
          </w:p>
        </w:tc>
      </w:tr>
    </w:tbl>
    <w:p w:rsidR="00BE0C98" w:rsidRPr="007E342F" w:rsidRDefault="00BE0C98" w:rsidP="00EF55D4">
      <w:pPr>
        <w:pStyle w:val="Betarp"/>
        <w:jc w:val="both"/>
        <w:rPr>
          <w:rFonts w:ascii="Times New Roman" w:hAnsi="Times New Roman" w:cs="Times New Roman"/>
          <w:sz w:val="24"/>
          <w:szCs w:val="24"/>
          <w:lang w:val="lt-LT"/>
        </w:rPr>
      </w:pPr>
    </w:p>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Neformalusis švietimas kiekvieną dieną integruojamas į veiklas.</w:t>
      </w:r>
    </w:p>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 </w:t>
      </w:r>
    </w:p>
    <w:p w:rsidR="00025D11" w:rsidRPr="007E342F" w:rsidRDefault="00025D11" w:rsidP="00EF55D4">
      <w:pPr>
        <w:pStyle w:val="Betarp"/>
        <w:jc w:val="both"/>
        <w:rPr>
          <w:rFonts w:ascii="Times New Roman" w:hAnsi="Times New Roman" w:cs="Times New Roman"/>
          <w:b/>
          <w:sz w:val="24"/>
          <w:szCs w:val="24"/>
          <w:lang w:val="lt-LT"/>
        </w:rPr>
      </w:pPr>
    </w:p>
    <w:p w:rsidR="00025D11" w:rsidRPr="007E342F" w:rsidRDefault="00025D11" w:rsidP="00EF55D4">
      <w:pPr>
        <w:pStyle w:val="Betarp"/>
        <w:jc w:val="both"/>
        <w:rPr>
          <w:rFonts w:ascii="Times New Roman" w:hAnsi="Times New Roman" w:cs="Times New Roman"/>
          <w:b/>
          <w:sz w:val="24"/>
          <w:szCs w:val="24"/>
          <w:lang w:val="lt-LT"/>
        </w:rPr>
      </w:pPr>
    </w:p>
    <w:p w:rsidR="00025D11" w:rsidRPr="007E342F" w:rsidRDefault="00025D11" w:rsidP="00EF55D4">
      <w:pPr>
        <w:pStyle w:val="Betarp"/>
        <w:jc w:val="both"/>
        <w:rPr>
          <w:rFonts w:ascii="Times New Roman" w:hAnsi="Times New Roman" w:cs="Times New Roman"/>
          <w:b/>
          <w:sz w:val="24"/>
          <w:szCs w:val="24"/>
          <w:lang w:val="lt-LT"/>
        </w:rPr>
      </w:pPr>
    </w:p>
    <w:p w:rsidR="00AE6F30" w:rsidRPr="007E342F" w:rsidRDefault="00AE6F30" w:rsidP="00EF55D4">
      <w:pPr>
        <w:pStyle w:val="Betarp"/>
        <w:jc w:val="both"/>
        <w:rPr>
          <w:rFonts w:ascii="Times New Roman" w:hAnsi="Times New Roman" w:cs="Times New Roman"/>
          <w:b/>
          <w:sz w:val="24"/>
          <w:szCs w:val="24"/>
          <w:lang w:val="lt-LT"/>
        </w:rPr>
      </w:pPr>
    </w:p>
    <w:p w:rsidR="00EF55D4" w:rsidRPr="007E342F" w:rsidRDefault="00EF55D4" w:rsidP="00EF55D4">
      <w:pPr>
        <w:pStyle w:val="Betarp"/>
        <w:jc w:val="both"/>
        <w:rPr>
          <w:rFonts w:ascii="Times New Roman" w:hAnsi="Times New Roman" w:cs="Times New Roman"/>
          <w:b/>
          <w:sz w:val="24"/>
          <w:szCs w:val="24"/>
          <w:lang w:val="lt-LT"/>
        </w:rPr>
      </w:pPr>
      <w:r w:rsidRPr="007E342F">
        <w:rPr>
          <w:rFonts w:ascii="Times New Roman" w:hAnsi="Times New Roman" w:cs="Times New Roman"/>
          <w:b/>
          <w:sz w:val="24"/>
          <w:szCs w:val="24"/>
          <w:lang w:val="lt-LT"/>
        </w:rPr>
        <w:t>4. Veiklos planas:</w:t>
      </w:r>
    </w:p>
    <w:p w:rsidR="00025D11" w:rsidRPr="007E342F" w:rsidRDefault="00025D11" w:rsidP="00EF55D4">
      <w:pPr>
        <w:pStyle w:val="Betarp"/>
        <w:jc w:val="both"/>
        <w:rPr>
          <w:rFonts w:ascii="Times New Roman" w:hAnsi="Times New Roman" w:cs="Times New Roman"/>
          <w:b/>
          <w:sz w:val="24"/>
          <w:szCs w:val="24"/>
          <w:lang w:val="lt-LT"/>
        </w:rPr>
      </w:pPr>
    </w:p>
    <w:tbl>
      <w:tblPr>
        <w:tblW w:w="1007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60"/>
        <w:gridCol w:w="4173"/>
        <w:gridCol w:w="1075"/>
        <w:gridCol w:w="2568"/>
      </w:tblGrid>
      <w:tr w:rsidR="00EF55D4" w:rsidRPr="007E342F" w:rsidTr="007E342F">
        <w:trPr>
          <w:tblHeader/>
          <w:tblCellSpacing w:w="15" w:type="dxa"/>
        </w:trPr>
        <w:tc>
          <w:tcPr>
            <w:tcW w:w="2215" w:type="dxa"/>
            <w:vAlign w:val="center"/>
            <w:hideMark/>
          </w:tcPr>
          <w:p w:rsidR="00EF55D4" w:rsidRPr="007E342F" w:rsidRDefault="00EF55D4" w:rsidP="00025D11">
            <w:pPr>
              <w:pStyle w:val="Betarp"/>
              <w:jc w:val="center"/>
              <w:rPr>
                <w:rFonts w:ascii="Times New Roman" w:hAnsi="Times New Roman" w:cs="Times New Roman"/>
                <w:b/>
                <w:sz w:val="24"/>
                <w:szCs w:val="24"/>
                <w:lang w:val="lt-LT"/>
              </w:rPr>
            </w:pPr>
            <w:r w:rsidRPr="007E342F">
              <w:rPr>
                <w:rFonts w:ascii="Times New Roman" w:hAnsi="Times New Roman" w:cs="Times New Roman"/>
                <w:b/>
                <w:sz w:val="24"/>
                <w:szCs w:val="24"/>
                <w:lang w:val="lt-LT"/>
              </w:rPr>
              <w:t>Tikslas</w:t>
            </w:r>
          </w:p>
        </w:tc>
        <w:tc>
          <w:tcPr>
            <w:tcW w:w="4143" w:type="dxa"/>
            <w:vAlign w:val="center"/>
            <w:hideMark/>
          </w:tcPr>
          <w:p w:rsidR="00EF55D4" w:rsidRPr="007E342F" w:rsidRDefault="00EF55D4" w:rsidP="00025D11">
            <w:pPr>
              <w:pStyle w:val="Betarp"/>
              <w:jc w:val="center"/>
              <w:rPr>
                <w:rFonts w:ascii="Times New Roman" w:hAnsi="Times New Roman" w:cs="Times New Roman"/>
                <w:b/>
                <w:sz w:val="24"/>
                <w:szCs w:val="24"/>
                <w:lang w:val="lt-LT"/>
              </w:rPr>
            </w:pPr>
            <w:r w:rsidRPr="007E342F">
              <w:rPr>
                <w:rFonts w:ascii="Times New Roman" w:hAnsi="Times New Roman" w:cs="Times New Roman"/>
                <w:b/>
                <w:sz w:val="24"/>
                <w:szCs w:val="24"/>
                <w:lang w:val="lt-LT"/>
              </w:rPr>
              <w:t>Veiklos pavadinimas</w:t>
            </w:r>
          </w:p>
        </w:tc>
        <w:tc>
          <w:tcPr>
            <w:tcW w:w="1045" w:type="dxa"/>
            <w:vAlign w:val="center"/>
            <w:hideMark/>
          </w:tcPr>
          <w:p w:rsidR="00EF55D4" w:rsidRPr="007E342F" w:rsidRDefault="00EF55D4" w:rsidP="00025D11">
            <w:pPr>
              <w:pStyle w:val="Betarp"/>
              <w:jc w:val="center"/>
              <w:rPr>
                <w:rFonts w:ascii="Times New Roman" w:hAnsi="Times New Roman" w:cs="Times New Roman"/>
                <w:b/>
                <w:sz w:val="24"/>
                <w:szCs w:val="24"/>
                <w:lang w:val="lt-LT"/>
              </w:rPr>
            </w:pPr>
            <w:r w:rsidRPr="007E342F">
              <w:rPr>
                <w:rFonts w:ascii="Times New Roman" w:hAnsi="Times New Roman" w:cs="Times New Roman"/>
                <w:b/>
                <w:sz w:val="24"/>
                <w:szCs w:val="24"/>
                <w:lang w:val="lt-LT"/>
              </w:rPr>
              <w:t>Laikas</w:t>
            </w:r>
          </w:p>
        </w:tc>
        <w:tc>
          <w:tcPr>
            <w:tcW w:w="0" w:type="auto"/>
            <w:vAlign w:val="center"/>
            <w:hideMark/>
          </w:tcPr>
          <w:p w:rsidR="00EF55D4" w:rsidRPr="007E342F" w:rsidRDefault="00EF55D4" w:rsidP="00025D11">
            <w:pPr>
              <w:pStyle w:val="Betarp"/>
              <w:jc w:val="center"/>
              <w:rPr>
                <w:rFonts w:ascii="Times New Roman" w:hAnsi="Times New Roman" w:cs="Times New Roman"/>
                <w:b/>
                <w:sz w:val="24"/>
                <w:szCs w:val="24"/>
                <w:lang w:val="lt-LT"/>
              </w:rPr>
            </w:pPr>
            <w:r w:rsidRPr="007E342F">
              <w:rPr>
                <w:rFonts w:ascii="Times New Roman" w:hAnsi="Times New Roman" w:cs="Times New Roman"/>
                <w:b/>
                <w:sz w:val="24"/>
                <w:szCs w:val="24"/>
                <w:lang w:val="lt-LT"/>
              </w:rPr>
              <w:t>Pastabos</w:t>
            </w:r>
          </w:p>
        </w:tc>
      </w:tr>
      <w:tr w:rsidR="00EF55D4" w:rsidRPr="007E342F" w:rsidTr="007E342F">
        <w:trPr>
          <w:tblCellSpacing w:w="15" w:type="dxa"/>
        </w:trPr>
        <w:tc>
          <w:tcPr>
            <w:tcW w:w="2215" w:type="dxa"/>
            <w:vAlign w:val="center"/>
            <w:hideMark/>
          </w:tcPr>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Organizacinė</w:t>
            </w:r>
          </w:p>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veikla</w:t>
            </w:r>
          </w:p>
        </w:tc>
        <w:tc>
          <w:tcPr>
            <w:tcW w:w="4143" w:type="dxa"/>
            <w:vAlign w:val="center"/>
            <w:hideMark/>
          </w:tcPr>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1.    Tėvų prašymų nagrinėjimas.</w:t>
            </w:r>
          </w:p>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2.    Tėvų lūkesčių analizė.</w:t>
            </w:r>
          </w:p>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3.    Vaikų pomėgių analizė.</w:t>
            </w:r>
          </w:p>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 xml:space="preserve">4.    Susitarimų, darbotvarkės, maitinimo, </w:t>
            </w:r>
            <w:r w:rsidR="00025D11" w:rsidRPr="007E342F">
              <w:rPr>
                <w:rFonts w:ascii="Times New Roman" w:hAnsi="Times New Roman" w:cs="Times New Roman"/>
                <w:sz w:val="24"/>
                <w:szCs w:val="24"/>
                <w:lang w:val="lt-LT"/>
              </w:rPr>
              <w:t xml:space="preserve"> </w:t>
            </w:r>
            <w:r w:rsidRPr="007E342F">
              <w:rPr>
                <w:rFonts w:ascii="Times New Roman" w:hAnsi="Times New Roman" w:cs="Times New Roman"/>
                <w:sz w:val="24"/>
                <w:szCs w:val="24"/>
                <w:lang w:val="lt-LT"/>
              </w:rPr>
              <w:t>VDM tvarkos aprašo aptarimas.</w:t>
            </w:r>
          </w:p>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5.    Aplinkų pritaikymo ir edukacinių priemonių poreikio aptarimas.</w:t>
            </w:r>
          </w:p>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9.    VDM įgyvendinimo rezultatų įsivertinimo kriterijų aptarimas.</w:t>
            </w:r>
          </w:p>
        </w:tc>
        <w:tc>
          <w:tcPr>
            <w:tcW w:w="1045" w:type="dxa"/>
            <w:vAlign w:val="center"/>
            <w:hideMark/>
          </w:tcPr>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Rugsėjo</w:t>
            </w:r>
          </w:p>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1-2 sav.</w:t>
            </w:r>
          </w:p>
        </w:tc>
        <w:tc>
          <w:tcPr>
            <w:tcW w:w="0" w:type="auto"/>
            <w:vAlign w:val="center"/>
            <w:hideMark/>
          </w:tcPr>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 </w:t>
            </w:r>
          </w:p>
        </w:tc>
      </w:tr>
      <w:tr w:rsidR="00EF55D4" w:rsidRPr="007E342F" w:rsidTr="007E342F">
        <w:trPr>
          <w:tblCellSpacing w:w="15" w:type="dxa"/>
        </w:trPr>
        <w:tc>
          <w:tcPr>
            <w:tcW w:w="2215" w:type="dxa"/>
            <w:vAlign w:val="center"/>
            <w:hideMark/>
          </w:tcPr>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Pagalba mokantis</w:t>
            </w:r>
          </w:p>
        </w:tc>
        <w:tc>
          <w:tcPr>
            <w:tcW w:w="4143" w:type="dxa"/>
            <w:vAlign w:val="center"/>
            <w:hideMark/>
          </w:tcPr>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1.    Pamokų ruoša.</w:t>
            </w:r>
          </w:p>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2.    Konsultacijos.</w:t>
            </w:r>
          </w:p>
          <w:p w:rsidR="00D52B18" w:rsidRPr="007E342F" w:rsidRDefault="00D52B18" w:rsidP="00D52B18">
            <w:pPr>
              <w:pStyle w:val="Betarp"/>
              <w:jc w:val="both"/>
              <w:rPr>
                <w:rFonts w:ascii="Times New Roman" w:hAnsi="Times New Roman" w:cs="Times New Roman"/>
                <w:sz w:val="24"/>
                <w:szCs w:val="24"/>
                <w:lang w:val="lt-LT"/>
              </w:rPr>
            </w:pPr>
          </w:p>
          <w:p w:rsidR="00EF55D4" w:rsidRPr="007E342F" w:rsidRDefault="00EF55D4" w:rsidP="00D52B18">
            <w:pPr>
              <w:pStyle w:val="Betarp"/>
              <w:jc w:val="both"/>
              <w:rPr>
                <w:rFonts w:ascii="Times New Roman" w:hAnsi="Times New Roman" w:cs="Times New Roman"/>
                <w:sz w:val="24"/>
                <w:szCs w:val="24"/>
                <w:lang w:val="lt-LT"/>
              </w:rPr>
            </w:pPr>
          </w:p>
        </w:tc>
        <w:tc>
          <w:tcPr>
            <w:tcW w:w="1045" w:type="dxa"/>
            <w:vAlign w:val="center"/>
            <w:hideMark/>
          </w:tcPr>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Kasdien</w:t>
            </w:r>
          </w:p>
        </w:tc>
        <w:tc>
          <w:tcPr>
            <w:tcW w:w="0" w:type="auto"/>
            <w:vAlign w:val="center"/>
            <w:hideMark/>
          </w:tcPr>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Mokytojo ir</w:t>
            </w:r>
            <w:r w:rsidR="00D52B18" w:rsidRPr="007E342F">
              <w:rPr>
                <w:rFonts w:ascii="Times New Roman" w:hAnsi="Times New Roman" w:cs="Times New Roman"/>
                <w:sz w:val="24"/>
                <w:szCs w:val="24"/>
                <w:lang w:val="lt-LT"/>
              </w:rPr>
              <w:t xml:space="preserve"> </w:t>
            </w:r>
            <w:r w:rsidRPr="007E342F">
              <w:rPr>
                <w:rFonts w:ascii="Times New Roman" w:hAnsi="Times New Roman" w:cs="Times New Roman"/>
                <w:sz w:val="24"/>
                <w:szCs w:val="24"/>
                <w:lang w:val="lt-LT"/>
              </w:rPr>
              <w:t>pagalbos mokiniui specialistų</w:t>
            </w:r>
          </w:p>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pagalba.</w:t>
            </w:r>
          </w:p>
        </w:tc>
      </w:tr>
      <w:tr w:rsidR="00EF55D4" w:rsidRPr="007E342F" w:rsidTr="007E342F">
        <w:trPr>
          <w:tblCellSpacing w:w="15" w:type="dxa"/>
        </w:trPr>
        <w:tc>
          <w:tcPr>
            <w:tcW w:w="2215" w:type="dxa"/>
            <w:vAlign w:val="center"/>
            <w:hideMark/>
          </w:tcPr>
          <w:p w:rsidR="00EF55D4" w:rsidRPr="007E342F" w:rsidRDefault="00EF55D4" w:rsidP="00025D11">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Ugdomieji</w:t>
            </w:r>
            <w:r w:rsidR="00025D11" w:rsidRPr="007E342F">
              <w:rPr>
                <w:rFonts w:ascii="Times New Roman" w:hAnsi="Times New Roman" w:cs="Times New Roman"/>
                <w:sz w:val="24"/>
                <w:szCs w:val="24"/>
                <w:lang w:val="lt-LT"/>
              </w:rPr>
              <w:t xml:space="preserve"> </w:t>
            </w:r>
            <w:r w:rsidRPr="007E342F">
              <w:rPr>
                <w:rFonts w:ascii="Times New Roman" w:hAnsi="Times New Roman" w:cs="Times New Roman"/>
                <w:sz w:val="24"/>
                <w:szCs w:val="24"/>
                <w:lang w:val="lt-LT"/>
              </w:rPr>
              <w:t>užsiėmimai</w:t>
            </w:r>
          </w:p>
        </w:tc>
        <w:tc>
          <w:tcPr>
            <w:tcW w:w="4143" w:type="dxa"/>
            <w:vAlign w:val="center"/>
            <w:hideMark/>
          </w:tcPr>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 xml:space="preserve">1.    Mokinių saviraiškos ugdymas per neformaliojo švietimo būrelius, meninę veiklą, filmų stebėjimą ir aptarimą, stalo žaidimus, kūrybiškumo ugdymą, draugiškumą ugdančius </w:t>
            </w:r>
            <w:proofErr w:type="spellStart"/>
            <w:r w:rsidRPr="007E342F">
              <w:rPr>
                <w:rFonts w:ascii="Times New Roman" w:hAnsi="Times New Roman" w:cs="Times New Roman"/>
                <w:sz w:val="24"/>
                <w:szCs w:val="24"/>
                <w:lang w:val="lt-LT"/>
              </w:rPr>
              <w:t>užsiėmimus</w:t>
            </w:r>
            <w:proofErr w:type="spellEnd"/>
            <w:r w:rsidRPr="007E342F">
              <w:rPr>
                <w:rFonts w:ascii="Times New Roman" w:hAnsi="Times New Roman" w:cs="Times New Roman"/>
                <w:sz w:val="24"/>
                <w:szCs w:val="24"/>
                <w:lang w:val="lt-LT"/>
              </w:rPr>
              <w:t>, ir kt. veiklas.</w:t>
            </w:r>
          </w:p>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2.    Parodos, konkursai.</w:t>
            </w:r>
          </w:p>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3.    Prevencinės programos.</w:t>
            </w:r>
          </w:p>
        </w:tc>
        <w:tc>
          <w:tcPr>
            <w:tcW w:w="1045" w:type="dxa"/>
            <w:vAlign w:val="center"/>
            <w:hideMark/>
          </w:tcPr>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Nuolat</w:t>
            </w:r>
          </w:p>
        </w:tc>
        <w:tc>
          <w:tcPr>
            <w:tcW w:w="0" w:type="auto"/>
            <w:vAlign w:val="center"/>
            <w:hideMark/>
          </w:tcPr>
          <w:p w:rsidR="00EF55D4" w:rsidRPr="007E342F" w:rsidRDefault="00EF55D4" w:rsidP="007E342F">
            <w:pPr>
              <w:pStyle w:val="Betarp"/>
              <w:rPr>
                <w:rFonts w:ascii="Times New Roman" w:hAnsi="Times New Roman" w:cs="Times New Roman"/>
                <w:sz w:val="24"/>
                <w:szCs w:val="24"/>
                <w:lang w:val="lt-LT"/>
              </w:rPr>
            </w:pPr>
            <w:r w:rsidRPr="007E342F">
              <w:rPr>
                <w:rFonts w:ascii="Times New Roman" w:hAnsi="Times New Roman" w:cs="Times New Roman"/>
                <w:sz w:val="24"/>
                <w:szCs w:val="24"/>
                <w:lang w:val="lt-LT"/>
              </w:rPr>
              <w:t>NŠ būrelių vadovų,</w:t>
            </w:r>
          </w:p>
          <w:p w:rsidR="00EF55D4" w:rsidRPr="007E342F" w:rsidRDefault="00EF55D4" w:rsidP="007E342F">
            <w:pPr>
              <w:pStyle w:val="Betarp"/>
              <w:rPr>
                <w:rFonts w:ascii="Times New Roman" w:hAnsi="Times New Roman" w:cs="Times New Roman"/>
                <w:sz w:val="24"/>
                <w:szCs w:val="24"/>
                <w:lang w:val="lt-LT"/>
              </w:rPr>
            </w:pPr>
            <w:r w:rsidRPr="007E342F">
              <w:rPr>
                <w:rFonts w:ascii="Times New Roman" w:hAnsi="Times New Roman" w:cs="Times New Roman"/>
                <w:sz w:val="24"/>
                <w:szCs w:val="24"/>
                <w:lang w:val="lt-LT"/>
              </w:rPr>
              <w:t>pagalbos mokiniui specialistų,</w:t>
            </w:r>
          </w:p>
          <w:p w:rsidR="00EF55D4" w:rsidRPr="007E342F" w:rsidRDefault="00EF55D4" w:rsidP="007E342F">
            <w:pPr>
              <w:pStyle w:val="Betarp"/>
              <w:rPr>
                <w:rFonts w:ascii="Times New Roman" w:hAnsi="Times New Roman" w:cs="Times New Roman"/>
                <w:sz w:val="24"/>
                <w:szCs w:val="24"/>
                <w:lang w:val="lt-LT"/>
              </w:rPr>
            </w:pPr>
            <w:r w:rsidRPr="007E342F">
              <w:rPr>
                <w:rFonts w:ascii="Times New Roman" w:hAnsi="Times New Roman" w:cs="Times New Roman"/>
                <w:sz w:val="24"/>
                <w:szCs w:val="24"/>
                <w:lang w:val="lt-LT"/>
              </w:rPr>
              <w:t>bendruomenės</w:t>
            </w:r>
          </w:p>
          <w:p w:rsidR="00EF55D4" w:rsidRPr="007E342F" w:rsidRDefault="00EF55D4" w:rsidP="007E342F">
            <w:pPr>
              <w:pStyle w:val="Betarp"/>
              <w:rPr>
                <w:rFonts w:ascii="Times New Roman" w:hAnsi="Times New Roman" w:cs="Times New Roman"/>
                <w:sz w:val="24"/>
                <w:szCs w:val="24"/>
                <w:lang w:val="lt-LT"/>
              </w:rPr>
            </w:pPr>
            <w:r w:rsidRPr="007E342F">
              <w:rPr>
                <w:rFonts w:ascii="Times New Roman" w:hAnsi="Times New Roman" w:cs="Times New Roman"/>
                <w:sz w:val="24"/>
                <w:szCs w:val="24"/>
                <w:lang w:val="lt-LT"/>
              </w:rPr>
              <w:t>mokinių</w:t>
            </w:r>
          </w:p>
          <w:p w:rsidR="00EF55D4" w:rsidRPr="007E342F" w:rsidRDefault="00EF55D4" w:rsidP="007E342F">
            <w:pPr>
              <w:pStyle w:val="Betarp"/>
              <w:rPr>
                <w:rFonts w:ascii="Times New Roman" w:hAnsi="Times New Roman" w:cs="Times New Roman"/>
                <w:sz w:val="24"/>
                <w:szCs w:val="24"/>
                <w:lang w:val="lt-LT"/>
              </w:rPr>
            </w:pPr>
            <w:r w:rsidRPr="007E342F">
              <w:rPr>
                <w:rFonts w:ascii="Times New Roman" w:hAnsi="Times New Roman" w:cs="Times New Roman"/>
                <w:sz w:val="24"/>
                <w:szCs w:val="24"/>
                <w:lang w:val="lt-LT"/>
              </w:rPr>
              <w:t>tėvų įtraukimas.</w:t>
            </w:r>
          </w:p>
        </w:tc>
      </w:tr>
      <w:tr w:rsidR="00EF55D4" w:rsidRPr="007E342F" w:rsidTr="007E342F">
        <w:trPr>
          <w:tblCellSpacing w:w="15" w:type="dxa"/>
        </w:trPr>
        <w:tc>
          <w:tcPr>
            <w:tcW w:w="2215" w:type="dxa"/>
            <w:vAlign w:val="center"/>
            <w:hideMark/>
          </w:tcPr>
          <w:p w:rsidR="00EF55D4" w:rsidRPr="007E342F" w:rsidRDefault="00EF55D4" w:rsidP="00EF55D4">
            <w:pPr>
              <w:pStyle w:val="Betarp"/>
              <w:jc w:val="both"/>
              <w:rPr>
                <w:rFonts w:ascii="Times New Roman" w:hAnsi="Times New Roman" w:cs="Times New Roman"/>
                <w:sz w:val="24"/>
                <w:szCs w:val="24"/>
                <w:lang w:val="lt-LT"/>
              </w:rPr>
            </w:pPr>
            <w:proofErr w:type="spellStart"/>
            <w:r w:rsidRPr="007E342F">
              <w:rPr>
                <w:rFonts w:ascii="Times New Roman" w:hAnsi="Times New Roman" w:cs="Times New Roman"/>
                <w:sz w:val="24"/>
                <w:szCs w:val="24"/>
                <w:lang w:val="lt-LT"/>
              </w:rPr>
              <w:t>Sveikatinimo</w:t>
            </w:r>
            <w:proofErr w:type="spellEnd"/>
          </w:p>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užsiėmimai</w:t>
            </w:r>
          </w:p>
        </w:tc>
        <w:tc>
          <w:tcPr>
            <w:tcW w:w="4143" w:type="dxa"/>
            <w:vAlign w:val="center"/>
            <w:hideMark/>
          </w:tcPr>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 xml:space="preserve">1.   Žaidimai, veiklos lauke, </w:t>
            </w:r>
            <w:r w:rsidR="00BE0C98" w:rsidRPr="007E342F">
              <w:rPr>
                <w:rFonts w:ascii="Times New Roman" w:hAnsi="Times New Roman" w:cs="Times New Roman"/>
                <w:sz w:val="24"/>
                <w:szCs w:val="24"/>
                <w:lang w:val="lt-LT"/>
              </w:rPr>
              <w:t>sporto salėje.</w:t>
            </w:r>
          </w:p>
          <w:p w:rsidR="00EF55D4" w:rsidRPr="007E342F" w:rsidRDefault="00025D11" w:rsidP="00D52B18">
            <w:pPr>
              <w:pStyle w:val="Betarp"/>
              <w:rPr>
                <w:rFonts w:ascii="Times New Roman" w:hAnsi="Times New Roman" w:cs="Times New Roman"/>
                <w:sz w:val="24"/>
                <w:szCs w:val="24"/>
                <w:lang w:val="lt-LT"/>
              </w:rPr>
            </w:pPr>
            <w:r w:rsidRPr="007E342F">
              <w:rPr>
                <w:rFonts w:ascii="Times New Roman" w:hAnsi="Times New Roman" w:cs="Times New Roman"/>
                <w:sz w:val="24"/>
                <w:szCs w:val="24"/>
                <w:lang w:val="lt-LT"/>
              </w:rPr>
              <w:t>2.   </w:t>
            </w:r>
            <w:r w:rsidR="00EF55D4" w:rsidRPr="007E342F">
              <w:rPr>
                <w:rFonts w:ascii="Times New Roman" w:hAnsi="Times New Roman" w:cs="Times New Roman"/>
                <w:sz w:val="24"/>
                <w:szCs w:val="24"/>
                <w:lang w:val="lt-LT"/>
              </w:rPr>
              <w:t>Pasivaikščiojimai mokyklos terit</w:t>
            </w:r>
            <w:r w:rsidR="00BE0C98" w:rsidRPr="007E342F">
              <w:rPr>
                <w:rFonts w:ascii="Times New Roman" w:hAnsi="Times New Roman" w:cs="Times New Roman"/>
                <w:sz w:val="24"/>
                <w:szCs w:val="24"/>
                <w:lang w:val="lt-LT"/>
              </w:rPr>
              <w:t>o</w:t>
            </w:r>
            <w:r w:rsidR="00EF55D4" w:rsidRPr="007E342F">
              <w:rPr>
                <w:rFonts w:ascii="Times New Roman" w:hAnsi="Times New Roman" w:cs="Times New Roman"/>
                <w:sz w:val="24"/>
                <w:szCs w:val="24"/>
                <w:lang w:val="lt-LT"/>
              </w:rPr>
              <w:t>rijoje ir už jos ribų.</w:t>
            </w:r>
          </w:p>
          <w:p w:rsidR="00EF55D4" w:rsidRPr="007E342F" w:rsidRDefault="00EF55D4" w:rsidP="00BE0C98">
            <w:pPr>
              <w:pStyle w:val="Betarp"/>
              <w:jc w:val="both"/>
              <w:rPr>
                <w:rFonts w:ascii="Times New Roman" w:hAnsi="Times New Roman" w:cs="Times New Roman"/>
                <w:sz w:val="24"/>
                <w:szCs w:val="24"/>
                <w:lang w:val="lt-LT"/>
              </w:rPr>
            </w:pPr>
          </w:p>
        </w:tc>
        <w:tc>
          <w:tcPr>
            <w:tcW w:w="1045" w:type="dxa"/>
            <w:vAlign w:val="center"/>
            <w:hideMark/>
          </w:tcPr>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Kasdien</w:t>
            </w:r>
          </w:p>
        </w:tc>
        <w:tc>
          <w:tcPr>
            <w:tcW w:w="0" w:type="auto"/>
            <w:vAlign w:val="center"/>
            <w:hideMark/>
          </w:tcPr>
          <w:p w:rsidR="00EF55D4" w:rsidRPr="007E342F" w:rsidRDefault="00EF55D4" w:rsidP="007E342F">
            <w:pPr>
              <w:pStyle w:val="Betarp"/>
              <w:rPr>
                <w:rFonts w:ascii="Times New Roman" w:hAnsi="Times New Roman" w:cs="Times New Roman"/>
                <w:sz w:val="24"/>
                <w:szCs w:val="24"/>
                <w:lang w:val="lt-LT"/>
              </w:rPr>
            </w:pPr>
            <w:r w:rsidRPr="007E342F">
              <w:rPr>
                <w:rFonts w:ascii="Times New Roman" w:hAnsi="Times New Roman" w:cs="Times New Roman"/>
                <w:sz w:val="24"/>
                <w:szCs w:val="24"/>
                <w:lang w:val="lt-LT"/>
              </w:rPr>
              <w:t>NŠ būrelių vadovų,</w:t>
            </w:r>
          </w:p>
          <w:p w:rsidR="00EF55D4" w:rsidRPr="007E342F" w:rsidRDefault="00082566" w:rsidP="007E342F">
            <w:pPr>
              <w:pStyle w:val="Betarp"/>
              <w:rPr>
                <w:rFonts w:ascii="Times New Roman" w:hAnsi="Times New Roman" w:cs="Times New Roman"/>
                <w:sz w:val="24"/>
                <w:szCs w:val="24"/>
                <w:lang w:val="lt-LT"/>
              </w:rPr>
            </w:pPr>
            <w:r w:rsidRPr="007E342F">
              <w:rPr>
                <w:rFonts w:ascii="Times New Roman" w:hAnsi="Times New Roman" w:cs="Times New Roman"/>
                <w:sz w:val="24"/>
                <w:szCs w:val="24"/>
                <w:lang w:val="lt-LT"/>
              </w:rPr>
              <w:t>pagalbos mokiniui specialistų</w:t>
            </w:r>
            <w:r w:rsidR="00EF55D4" w:rsidRPr="007E342F">
              <w:rPr>
                <w:rFonts w:ascii="Times New Roman" w:hAnsi="Times New Roman" w:cs="Times New Roman"/>
                <w:sz w:val="24"/>
                <w:szCs w:val="24"/>
                <w:lang w:val="lt-LT"/>
              </w:rPr>
              <w:t>.</w:t>
            </w:r>
          </w:p>
        </w:tc>
      </w:tr>
      <w:tr w:rsidR="00EF55D4" w:rsidRPr="007E342F" w:rsidTr="007E342F">
        <w:trPr>
          <w:tblCellSpacing w:w="15" w:type="dxa"/>
        </w:trPr>
        <w:tc>
          <w:tcPr>
            <w:tcW w:w="2215" w:type="dxa"/>
            <w:vAlign w:val="center"/>
            <w:hideMark/>
          </w:tcPr>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 </w:t>
            </w:r>
          </w:p>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VDM veiklos</w:t>
            </w:r>
          </w:p>
          <w:p w:rsidR="00EF55D4" w:rsidRPr="007E342F" w:rsidRDefault="007E342F" w:rsidP="00EF55D4">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apibendrinimas</w:t>
            </w:r>
          </w:p>
        </w:tc>
        <w:tc>
          <w:tcPr>
            <w:tcW w:w="4143" w:type="dxa"/>
            <w:vAlign w:val="center"/>
            <w:hideMark/>
          </w:tcPr>
          <w:p w:rsidR="00EF55D4" w:rsidRPr="007E342F" w:rsidRDefault="00EF55D4" w:rsidP="00025D11">
            <w:pPr>
              <w:pStyle w:val="Betarp"/>
              <w:rPr>
                <w:rFonts w:ascii="Times New Roman" w:hAnsi="Times New Roman" w:cs="Times New Roman"/>
                <w:sz w:val="24"/>
                <w:szCs w:val="24"/>
                <w:lang w:val="lt-LT"/>
              </w:rPr>
            </w:pPr>
            <w:r w:rsidRPr="007E342F">
              <w:rPr>
                <w:rFonts w:ascii="Times New Roman" w:hAnsi="Times New Roman" w:cs="Times New Roman"/>
                <w:sz w:val="24"/>
                <w:szCs w:val="24"/>
                <w:lang w:val="lt-LT"/>
              </w:rPr>
              <w:t>VDM įgyvendinimo rezultatų įsivertinimas ir aptarimas.</w:t>
            </w:r>
          </w:p>
        </w:tc>
        <w:tc>
          <w:tcPr>
            <w:tcW w:w="1045" w:type="dxa"/>
            <w:vAlign w:val="center"/>
            <w:hideMark/>
          </w:tcPr>
          <w:p w:rsidR="00EF55D4" w:rsidRPr="007E342F" w:rsidRDefault="00BE0C98"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2022</w:t>
            </w:r>
            <w:r w:rsidR="00EF55D4" w:rsidRPr="007E342F">
              <w:rPr>
                <w:rFonts w:ascii="Times New Roman" w:hAnsi="Times New Roman" w:cs="Times New Roman"/>
                <w:sz w:val="24"/>
                <w:szCs w:val="24"/>
                <w:lang w:val="lt-LT"/>
              </w:rPr>
              <w:t xml:space="preserve"> m.</w:t>
            </w:r>
          </w:p>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birželis</w:t>
            </w:r>
          </w:p>
        </w:tc>
        <w:tc>
          <w:tcPr>
            <w:tcW w:w="0" w:type="auto"/>
            <w:vAlign w:val="center"/>
            <w:hideMark/>
          </w:tcPr>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 </w:t>
            </w:r>
          </w:p>
          <w:p w:rsidR="00EF55D4" w:rsidRPr="007E342F" w:rsidRDefault="00EF55D4" w:rsidP="00EF55D4">
            <w:pPr>
              <w:pStyle w:val="Betarp"/>
              <w:jc w:val="both"/>
              <w:rPr>
                <w:rFonts w:ascii="Times New Roman" w:hAnsi="Times New Roman" w:cs="Times New Roman"/>
                <w:sz w:val="24"/>
                <w:szCs w:val="24"/>
                <w:lang w:val="lt-LT"/>
              </w:rPr>
            </w:pPr>
            <w:r w:rsidRPr="007E342F">
              <w:rPr>
                <w:rFonts w:ascii="Times New Roman" w:hAnsi="Times New Roman" w:cs="Times New Roman"/>
                <w:sz w:val="24"/>
                <w:szCs w:val="24"/>
                <w:lang w:val="lt-LT"/>
              </w:rPr>
              <w:t> </w:t>
            </w:r>
          </w:p>
        </w:tc>
      </w:tr>
    </w:tbl>
    <w:p w:rsidR="00EF55D4" w:rsidRPr="007E342F" w:rsidRDefault="00EF55D4" w:rsidP="00EF55D4">
      <w:pPr>
        <w:pStyle w:val="Betarp"/>
        <w:jc w:val="both"/>
        <w:rPr>
          <w:rFonts w:ascii="Times New Roman" w:hAnsi="Times New Roman" w:cs="Times New Roman"/>
          <w:sz w:val="24"/>
          <w:szCs w:val="24"/>
          <w:lang w:val="lt-LT"/>
        </w:rPr>
      </w:pPr>
    </w:p>
    <w:p w:rsidR="00AE6F30" w:rsidRDefault="00AE6F30">
      <w:pPr>
        <w:pStyle w:val="Betarp"/>
        <w:jc w:val="both"/>
        <w:rPr>
          <w:rFonts w:ascii="ешь" w:hAnsi="ешь"/>
          <w:sz w:val="24"/>
          <w:szCs w:val="24"/>
          <w:lang w:val="lt-LT"/>
        </w:rPr>
      </w:pPr>
    </w:p>
    <w:p w:rsidR="007E342F" w:rsidRPr="007E342F" w:rsidRDefault="007E342F" w:rsidP="007E342F">
      <w:pPr>
        <w:pStyle w:val="Betarp"/>
        <w:jc w:val="center"/>
        <w:rPr>
          <w:rFonts w:ascii="ешь" w:hAnsi="ешь"/>
          <w:sz w:val="24"/>
          <w:szCs w:val="24"/>
          <w:lang w:val="lt-LT"/>
        </w:rPr>
      </w:pPr>
      <w:r>
        <w:rPr>
          <w:rFonts w:ascii="ешь" w:hAnsi="ешь"/>
          <w:sz w:val="24"/>
          <w:szCs w:val="24"/>
          <w:lang w:val="lt-LT"/>
        </w:rPr>
        <w:t>____________________________________</w:t>
      </w:r>
    </w:p>
    <w:sectPr w:rsidR="007E342F" w:rsidRPr="007E342F" w:rsidSect="00AE6F30">
      <w:pgSz w:w="12240" w:h="15840"/>
      <w:pgMar w:top="1560" w:right="1041"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ешь">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C5A"/>
    <w:multiLevelType w:val="multilevel"/>
    <w:tmpl w:val="1FAEB4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0601C3"/>
    <w:multiLevelType w:val="multilevel"/>
    <w:tmpl w:val="7EE48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68738E"/>
    <w:multiLevelType w:val="multilevel"/>
    <w:tmpl w:val="A19692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D4"/>
    <w:rsid w:val="00025D11"/>
    <w:rsid w:val="00082566"/>
    <w:rsid w:val="001810A2"/>
    <w:rsid w:val="00245DFB"/>
    <w:rsid w:val="00286C5F"/>
    <w:rsid w:val="00367C27"/>
    <w:rsid w:val="003B4972"/>
    <w:rsid w:val="00684876"/>
    <w:rsid w:val="007E342F"/>
    <w:rsid w:val="008D02C8"/>
    <w:rsid w:val="00914FD7"/>
    <w:rsid w:val="00AE6F30"/>
    <w:rsid w:val="00BE0C98"/>
    <w:rsid w:val="00C00556"/>
    <w:rsid w:val="00D52B18"/>
    <w:rsid w:val="00D91534"/>
    <w:rsid w:val="00E43BC2"/>
    <w:rsid w:val="00EF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7AFA"/>
  <w15:chartTrackingRefBased/>
  <w15:docId w15:val="{956BEC3F-CBBD-435A-9199-4F678198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E6F3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EF55D4"/>
    <w:pPr>
      <w:spacing w:before="100" w:beforeAutospacing="1" w:after="100" w:afterAutospacing="1" w:line="240" w:lineRule="auto"/>
    </w:pPr>
    <w:rPr>
      <w:rFonts w:ascii="Times New Roman" w:eastAsia="Times New Roman" w:hAnsi="Times New Roman" w:cs="Times New Roman"/>
      <w:sz w:val="24"/>
      <w:szCs w:val="24"/>
    </w:rPr>
  </w:style>
  <w:style w:type="character" w:styleId="Grietas">
    <w:name w:val="Strong"/>
    <w:basedOn w:val="Numatytasispastraiposriftas"/>
    <w:uiPriority w:val="22"/>
    <w:qFormat/>
    <w:rsid w:val="00EF55D4"/>
    <w:rPr>
      <w:b/>
      <w:bCs/>
    </w:rPr>
  </w:style>
  <w:style w:type="character" w:styleId="Emfaz">
    <w:name w:val="Emphasis"/>
    <w:basedOn w:val="Numatytasispastraiposriftas"/>
    <w:uiPriority w:val="20"/>
    <w:qFormat/>
    <w:rsid w:val="00EF55D4"/>
    <w:rPr>
      <w:i/>
      <w:iCs/>
    </w:rPr>
  </w:style>
  <w:style w:type="paragraph" w:styleId="Betarp">
    <w:name w:val="No Spacing"/>
    <w:uiPriority w:val="1"/>
    <w:qFormat/>
    <w:rsid w:val="00EF55D4"/>
    <w:pPr>
      <w:spacing w:after="0" w:line="240" w:lineRule="auto"/>
    </w:pPr>
  </w:style>
  <w:style w:type="paragraph" w:styleId="Debesliotekstas">
    <w:name w:val="Balloon Text"/>
    <w:basedOn w:val="prastasis"/>
    <w:link w:val="DebesliotekstasDiagrama"/>
    <w:uiPriority w:val="99"/>
    <w:semiHidden/>
    <w:unhideWhenUsed/>
    <w:rsid w:val="00367C2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67C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668249">
      <w:bodyDiv w:val="1"/>
      <w:marLeft w:val="0"/>
      <w:marRight w:val="0"/>
      <w:marTop w:val="0"/>
      <w:marBottom w:val="0"/>
      <w:divBdr>
        <w:top w:val="none" w:sz="0" w:space="0" w:color="auto"/>
        <w:left w:val="none" w:sz="0" w:space="0" w:color="auto"/>
        <w:bottom w:val="none" w:sz="0" w:space="0" w:color="auto"/>
        <w:right w:val="none" w:sz="0" w:space="0" w:color="auto"/>
      </w:divBdr>
      <w:divsChild>
        <w:div w:id="1476067850">
          <w:marLeft w:val="0"/>
          <w:marRight w:val="0"/>
          <w:marTop w:val="0"/>
          <w:marBottom w:val="0"/>
          <w:divBdr>
            <w:top w:val="none" w:sz="0" w:space="0" w:color="auto"/>
            <w:left w:val="none" w:sz="0" w:space="0" w:color="auto"/>
            <w:bottom w:val="none" w:sz="0" w:space="0" w:color="auto"/>
            <w:right w:val="none" w:sz="0" w:space="0" w:color="auto"/>
          </w:divBdr>
        </w:div>
        <w:div w:id="140872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2388</Characters>
  <Application>Microsoft Office Word</Application>
  <DocSecurity>0</DocSecurity>
  <Lines>19</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2022-02-24T11:27:00Z</cp:lastPrinted>
  <dcterms:created xsi:type="dcterms:W3CDTF">2022-02-25T07:28:00Z</dcterms:created>
  <dcterms:modified xsi:type="dcterms:W3CDTF">2022-02-25T07:28:00Z</dcterms:modified>
</cp:coreProperties>
</file>